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A36" w:rsidRPr="00756211" w:rsidRDefault="0089522C" w:rsidP="00756211">
      <w:pPr>
        <w:keepNext/>
        <w:spacing w:after="0" w:line="240" w:lineRule="auto"/>
        <w:ind w:left="6804"/>
        <w:rPr>
          <w:rFonts w:ascii="Times New Roman" w:eastAsiaTheme="minorEastAsia" w:hAnsi="Times New Roman" w:cs="Arial"/>
          <w:sz w:val="24"/>
          <w:szCs w:val="20"/>
          <w:lang w:eastAsia="pl-PL"/>
        </w:rPr>
      </w:pPr>
      <w:bookmarkStart w:id="0" w:name="_GoBack"/>
      <w:bookmarkEnd w:id="0"/>
      <w:r w:rsidRPr="0089522C">
        <w:rPr>
          <w:rFonts w:ascii="Times New Roman" w:eastAsiaTheme="minorEastAsia" w:hAnsi="Times New Roman" w:cs="Arial"/>
          <w:sz w:val="24"/>
          <w:szCs w:val="20"/>
          <w:lang w:eastAsia="pl-PL"/>
        </w:rPr>
        <w:t xml:space="preserve">Załączniki </w:t>
      </w:r>
    </w:p>
    <w:p w:rsidR="00756211" w:rsidRDefault="0089522C" w:rsidP="00756211">
      <w:pPr>
        <w:keepNext/>
        <w:spacing w:after="0" w:line="240" w:lineRule="auto"/>
        <w:ind w:left="6804"/>
        <w:rPr>
          <w:rFonts w:ascii="Times New Roman" w:eastAsiaTheme="minorEastAsia" w:hAnsi="Times New Roman" w:cs="Arial"/>
          <w:sz w:val="24"/>
          <w:szCs w:val="20"/>
          <w:lang w:eastAsia="pl-PL"/>
        </w:rPr>
      </w:pPr>
      <w:r w:rsidRPr="0089522C">
        <w:rPr>
          <w:rFonts w:ascii="Times New Roman" w:eastAsiaTheme="minorEastAsia" w:hAnsi="Times New Roman" w:cs="Arial"/>
          <w:sz w:val="24"/>
          <w:szCs w:val="20"/>
          <w:lang w:eastAsia="pl-PL"/>
        </w:rPr>
        <w:t xml:space="preserve">do ustawy </w:t>
      </w:r>
    </w:p>
    <w:p w:rsidR="00BE6A36" w:rsidRPr="00756211" w:rsidRDefault="00756211" w:rsidP="00756211">
      <w:pPr>
        <w:keepNext/>
        <w:spacing w:after="0" w:line="240" w:lineRule="auto"/>
        <w:ind w:left="6804"/>
        <w:rPr>
          <w:rFonts w:ascii="Times New Roman" w:eastAsiaTheme="minorEastAsia" w:hAnsi="Times New Roman" w:cs="Arial"/>
          <w:sz w:val="24"/>
          <w:szCs w:val="20"/>
          <w:lang w:eastAsia="pl-PL"/>
        </w:rPr>
      </w:pPr>
      <w:r>
        <w:rPr>
          <w:rFonts w:ascii="Times New Roman" w:eastAsiaTheme="minorEastAsia" w:hAnsi="Times New Roman" w:cs="Arial"/>
          <w:sz w:val="24"/>
          <w:szCs w:val="20"/>
          <w:lang w:eastAsia="pl-PL"/>
        </w:rPr>
        <w:t>z dnia</w:t>
      </w:r>
    </w:p>
    <w:p w:rsidR="0089522C" w:rsidRPr="0089522C" w:rsidRDefault="0089522C" w:rsidP="00756211">
      <w:pPr>
        <w:keepNext/>
        <w:spacing w:after="0" w:line="240" w:lineRule="auto"/>
        <w:ind w:left="6804"/>
        <w:rPr>
          <w:rFonts w:ascii="Times New Roman" w:eastAsiaTheme="minorEastAsia" w:hAnsi="Times New Roman" w:cs="Arial"/>
          <w:sz w:val="24"/>
          <w:szCs w:val="20"/>
          <w:lang w:eastAsia="pl-PL"/>
        </w:rPr>
      </w:pPr>
      <w:r w:rsidRPr="0089522C">
        <w:rPr>
          <w:rFonts w:ascii="Times New Roman" w:eastAsiaTheme="minorEastAsia" w:hAnsi="Times New Roman" w:cs="Arial"/>
          <w:sz w:val="24"/>
          <w:szCs w:val="20"/>
          <w:lang w:eastAsia="pl-PL"/>
        </w:rPr>
        <w:t xml:space="preserve">(poz. </w:t>
      </w:r>
      <w:r w:rsidR="00756211">
        <w:rPr>
          <w:rFonts w:ascii="Times New Roman" w:eastAsiaTheme="minorEastAsia" w:hAnsi="Times New Roman" w:cs="Arial"/>
          <w:sz w:val="24"/>
          <w:szCs w:val="20"/>
          <w:lang w:eastAsia="pl-PL"/>
        </w:rPr>
        <w:t>...</w:t>
      </w:r>
      <w:r w:rsidRPr="0089522C">
        <w:rPr>
          <w:rFonts w:ascii="Times New Roman" w:eastAsiaTheme="minorEastAsia" w:hAnsi="Times New Roman" w:cs="Arial"/>
          <w:sz w:val="24"/>
          <w:szCs w:val="20"/>
          <w:lang w:eastAsia="pl-PL"/>
        </w:rPr>
        <w:t>)</w:t>
      </w:r>
    </w:p>
    <w:p w:rsidR="0089522C" w:rsidRPr="0089522C" w:rsidRDefault="0089522C" w:rsidP="0089522C">
      <w:pPr>
        <w:keepNext/>
        <w:spacing w:after="0" w:line="360" w:lineRule="auto"/>
        <w:jc w:val="right"/>
        <w:rPr>
          <w:rFonts w:ascii="Times New Roman" w:eastAsiaTheme="minorEastAsia" w:hAnsi="Times New Roman" w:cs="Arial"/>
          <w:sz w:val="24"/>
          <w:szCs w:val="20"/>
          <w:lang w:eastAsia="pl-PL"/>
        </w:rPr>
      </w:pPr>
      <w:r w:rsidRPr="0089522C">
        <w:rPr>
          <w:rFonts w:ascii="Times New Roman" w:eastAsiaTheme="minorEastAsia" w:hAnsi="Times New Roman" w:cs="Arial"/>
          <w:sz w:val="24"/>
          <w:szCs w:val="20"/>
          <w:lang w:eastAsia="pl-PL"/>
        </w:rPr>
        <w:t>Załącznik nr 1</w:t>
      </w:r>
    </w:p>
    <w:p w:rsidR="0089522C" w:rsidRPr="0089522C" w:rsidRDefault="0089522C" w:rsidP="0089522C">
      <w:pPr>
        <w:tabs>
          <w:tab w:val="left" w:pos="7020"/>
        </w:tabs>
        <w:spacing w:after="0" w:line="360" w:lineRule="auto"/>
        <w:ind w:left="426" w:hanging="426"/>
        <w:jc w:val="right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</w:p>
    <w:p w:rsidR="0089522C" w:rsidRPr="0089522C" w:rsidRDefault="0089522C" w:rsidP="00756211">
      <w:pPr>
        <w:tabs>
          <w:tab w:val="left" w:pos="7020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89522C">
        <w:rPr>
          <w:rFonts w:ascii="Times New Roman" w:eastAsiaTheme="minorEastAsia" w:hAnsi="Times New Roman" w:cs="Times New Roman"/>
          <w:sz w:val="24"/>
          <w:szCs w:val="24"/>
          <w:lang w:eastAsia="pl-PL"/>
        </w:rPr>
        <w:t>„Z</w:t>
      </w:r>
      <w:r w:rsidR="007C704E">
        <w:rPr>
          <w:rFonts w:ascii="Times New Roman" w:eastAsiaTheme="minorEastAsia" w:hAnsi="Times New Roman" w:cs="Times New Roman"/>
          <w:sz w:val="24"/>
          <w:szCs w:val="24"/>
          <w:lang w:eastAsia="pl-PL"/>
        </w:rPr>
        <w:t>ałącznik nr 1</w:t>
      </w:r>
    </w:p>
    <w:p w:rsidR="0089522C" w:rsidRPr="0089522C" w:rsidRDefault="0089522C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Część A. Surowce i paliwa, których wkład w realizację celu określonego w art. 23 ust. 1 jest uznawany za dwukrotność ich wartości energetycznej:</w:t>
      </w:r>
    </w:p>
    <w:p w:rsidR="0089522C" w:rsidRPr="0089522C" w:rsidRDefault="0089522C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1)</w:t>
      </w:r>
      <w:r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  <w:t>algi, jeżeli są hodowane na lądzie, w stawach lub w fotobioreaktorach;</w:t>
      </w:r>
    </w:p>
    <w:p w:rsidR="0089522C" w:rsidRPr="0089522C" w:rsidRDefault="0089522C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 xml:space="preserve">2) </w:t>
      </w:r>
      <w:r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  <w:t>frakcja ulegająca biodegradacji pochodząca z przetwarzania zmieszanych odpadów komunalnych, ale nie pozyskiwana w ramach selektywnego zbierania odpadów z</w:t>
      </w:r>
      <w:r w:rsidR="00756211">
        <w:rPr>
          <w:rFonts w:ascii="Times New Roman" w:eastAsiaTheme="minorEastAsia" w:hAnsi="Times New Roman" w:cs="Times New Roman"/>
          <w:sz w:val="24"/>
          <w:szCs w:val="20"/>
          <w:lang w:eastAsia="pl-PL"/>
        </w:rPr>
        <w:t> </w:t>
      </w:r>
      <w:r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gospodarstw domowych mającego na celu osiągnięcie poziomów</w:t>
      </w:r>
      <w:r w:rsidRPr="0089522C">
        <w:rPr>
          <w:rFonts w:ascii="Helv" w:eastAsiaTheme="minorEastAsia" w:hAnsi="Helv" w:cs="Helv"/>
          <w:color w:val="000000"/>
          <w:sz w:val="20"/>
          <w:szCs w:val="20"/>
          <w:lang w:eastAsia="pl-PL"/>
        </w:rPr>
        <w:t>,</w:t>
      </w:r>
      <w:r w:rsidRPr="0089522C">
        <w:rPr>
          <w:rFonts w:ascii="Times New Roman" w:eastAsiaTheme="minorEastAsia" w:hAnsi="Times New Roman" w:cs="Times New Roman"/>
          <w:color w:val="000000"/>
          <w:sz w:val="24"/>
          <w:szCs w:val="24"/>
          <w:lang w:eastAsia="pl-PL"/>
        </w:rPr>
        <w:t xml:space="preserve"> o których mowa w</w:t>
      </w:r>
      <w:r w:rsidR="00756211">
        <w:rPr>
          <w:rFonts w:ascii="Times New Roman" w:eastAsiaTheme="minorEastAsia" w:hAnsi="Times New Roman" w:cs="Times New Roman"/>
          <w:color w:val="000000"/>
          <w:sz w:val="24"/>
          <w:szCs w:val="24"/>
          <w:lang w:eastAsia="pl-PL"/>
        </w:rPr>
        <w:t> </w:t>
      </w:r>
      <w:r w:rsidRPr="0089522C">
        <w:rPr>
          <w:rFonts w:ascii="Times New Roman" w:eastAsiaTheme="minorEastAsia" w:hAnsi="Times New Roman" w:cs="Times New Roman"/>
          <w:color w:val="000000"/>
          <w:sz w:val="24"/>
          <w:szCs w:val="24"/>
          <w:lang w:eastAsia="pl-PL"/>
        </w:rPr>
        <w:t>art. 3b ust. 1 pkt 1 ustawy z dnia 13 września 1996 r. o utrzymaniu czystości i</w:t>
      </w:r>
      <w:r w:rsidR="00756211">
        <w:rPr>
          <w:rFonts w:ascii="Times New Roman" w:eastAsiaTheme="minorEastAsia" w:hAnsi="Times New Roman" w:cs="Times New Roman"/>
          <w:color w:val="000000"/>
          <w:sz w:val="24"/>
          <w:szCs w:val="24"/>
          <w:lang w:eastAsia="pl-PL"/>
        </w:rPr>
        <w:t> </w:t>
      </w:r>
      <w:r w:rsidRPr="0089522C">
        <w:rPr>
          <w:rFonts w:ascii="Times New Roman" w:eastAsiaTheme="minorEastAsia" w:hAnsi="Times New Roman" w:cs="Times New Roman"/>
          <w:color w:val="000000"/>
          <w:sz w:val="24"/>
          <w:szCs w:val="24"/>
          <w:lang w:eastAsia="pl-PL"/>
        </w:rPr>
        <w:t>porządku w gminach (Dz. U. z 2017 r. poz. 1289);</w:t>
      </w:r>
    </w:p>
    <w:p w:rsidR="0089522C" w:rsidRPr="0089522C" w:rsidRDefault="0089522C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3)</w:t>
      </w:r>
      <w:r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Pr="0089522C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bioodpady, o </w:t>
      </w:r>
      <w:r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których mowa w art. 3 ust. 1 pkt 1 ustawy z dnia 14 grudnia 2012 r. o</w:t>
      </w:r>
      <w:r w:rsidR="00756211">
        <w:rPr>
          <w:rFonts w:ascii="Times New Roman" w:eastAsiaTheme="minorEastAsia" w:hAnsi="Times New Roman" w:cs="Times New Roman"/>
          <w:sz w:val="24"/>
          <w:szCs w:val="20"/>
          <w:lang w:eastAsia="pl-PL"/>
        </w:rPr>
        <w:t> </w:t>
      </w:r>
      <w:r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odpadach, pochodzące z gospodarstw domowych zbie</w:t>
      </w:r>
      <w:r w:rsidR="00CF16A6">
        <w:rPr>
          <w:rFonts w:ascii="Times New Roman" w:eastAsiaTheme="minorEastAsia" w:hAnsi="Times New Roman" w:cs="Times New Roman"/>
          <w:sz w:val="24"/>
          <w:szCs w:val="20"/>
          <w:lang w:eastAsia="pl-PL"/>
        </w:rPr>
        <w:t>rane selektywnie zgodnie z art.</w:t>
      </w:r>
      <w:r w:rsidR="00CF16A6">
        <w:t> </w:t>
      </w:r>
      <w:r w:rsidR="00CF16A6">
        <w:rPr>
          <w:rFonts w:ascii="Times New Roman" w:eastAsiaTheme="minorEastAsia" w:hAnsi="Times New Roman" w:cs="Times New Roman"/>
          <w:sz w:val="24"/>
          <w:szCs w:val="20"/>
          <w:lang w:eastAsia="pl-PL"/>
        </w:rPr>
        <w:t>3 ust. </w:t>
      </w:r>
      <w:r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1 pkt 24 tej ustawy;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4)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frakcja biomasy pochodząca z odpadów przemysłowych, nienadająca się do wykorzystania w łańcuchu żywnościowym ludzi i zwierząt, w tym materiał z detalu i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 </w:t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hurtu oraz z przemysłu rolno-spożywczego, rybołówstwa i akwakultury, z wyłączeniem surowców wymienionych w części B niniejszego załącznika;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5)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słoma;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6)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obornik i osad ściekowy;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7)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ścieki z zakładów wytłaczania oleju palmowego i puste wiązki owoców palmy;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8)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smoła oleju talowego;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9)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surowa gliceryna;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10)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wytłoczyny z trzciny cukrowej;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11)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wytłoki z winogron i osad winny z drożdży;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12)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łupiny orzechów;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13)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łuski nasion;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14)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kolby oczyszczone z ziaren kukurydzy;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15)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frakcja biomasy z gospodarki leśnej, taka jak kora, gałęzie, liście, igły, wierzchołki drzew, trociny, strużyny oraz frakcja biomasy z gałęzi przemysłu opartych na leśnictwie;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lastRenderedPageBreak/>
        <w:t>16)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inny niespożywczy materiał celulozowy, określony w art. 2 ust. 1 pkt 32b;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17)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inny materiał lignocelulozowy określony w art. 2 ust. 1 pkt 32a, z wyjątkiem kłód tartacznych i kłód skrawanych;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18)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inne paliwa odnawialne;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19)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wychwytywanie i wykorzystanie dwutlenku węgla na potrzeby transportu, jeżeli źródło energii jest odnawialne zgodnie z art. 2 pkt 22 ustawy z dnia 20 lutego 2015 r. o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 </w:t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 xml:space="preserve">odnawialnych źródłach energii; 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20)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bakterie, jeżeli źródło energii jest odnawialne zgodnie z art. 2 pkt 22 ustawy z dnia 20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 </w:t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lutego 2015 r. o odnawialnych źródłach energii.</w:t>
      </w:r>
    </w:p>
    <w:p w:rsidR="0089522C" w:rsidRPr="0089522C" w:rsidRDefault="0089522C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 xml:space="preserve">Część B. Surowce, których wkład w realizację celu określonego w art. 23 ust. 1 jest uznawany za dwukrotność ich wartości energetycznej: </w:t>
      </w:r>
    </w:p>
    <w:p w:rsidR="0089522C" w:rsidRP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1)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zużyty olej kuchenny;</w:t>
      </w:r>
    </w:p>
    <w:p w:rsidR="0089522C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eastAsiaTheme="minorEastAsia" w:hAnsi="Times New Roman" w:cs="Times New Roman"/>
          <w:sz w:val="24"/>
          <w:szCs w:val="20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>2)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ab/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tłuszcze zwierzęce.”</w:t>
      </w:r>
      <w:r>
        <w:rPr>
          <w:rFonts w:ascii="Times New Roman" w:eastAsiaTheme="minorEastAsia" w:hAnsi="Times New Roman" w:cs="Times New Roman"/>
          <w:sz w:val="24"/>
          <w:szCs w:val="20"/>
          <w:lang w:eastAsia="pl-PL"/>
        </w:rPr>
        <w:t xml:space="preserve"> </w:t>
      </w:r>
    </w:p>
    <w:p w:rsidR="00756211" w:rsidRDefault="00756211" w:rsidP="0075621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705" w:hanging="705"/>
        <w:jc w:val="both"/>
        <w:rPr>
          <w:rFonts w:ascii="Times New Roman" w:eastAsiaTheme="minorEastAsia" w:hAnsi="Times New Roman" w:cs="Arial"/>
          <w:sz w:val="24"/>
          <w:szCs w:val="20"/>
          <w:lang w:eastAsia="pl-PL"/>
        </w:rPr>
        <w:sectPr w:rsidR="00756211" w:rsidSect="001A7F15">
          <w:headerReference w:type="default" r:id="rId6"/>
          <w:footnotePr>
            <w:numRestart w:val="eachSect"/>
          </w:footnotePr>
          <w:pgSz w:w="11906" w:h="16838"/>
          <w:pgMar w:top="1560" w:right="1434" w:bottom="1560" w:left="1418" w:header="709" w:footer="709" w:gutter="0"/>
          <w:cols w:space="708"/>
          <w:titlePg/>
          <w:docGrid w:linePitch="254"/>
        </w:sectPr>
      </w:pPr>
    </w:p>
    <w:p w:rsidR="0089522C" w:rsidRPr="0089522C" w:rsidRDefault="0089522C" w:rsidP="0089522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89522C">
        <w:rPr>
          <w:rFonts w:ascii="Times New Roman" w:eastAsiaTheme="minorEastAsia" w:hAnsi="Times New Roman" w:cs="Arial"/>
          <w:sz w:val="24"/>
          <w:szCs w:val="20"/>
          <w:lang w:eastAsia="pl-PL"/>
        </w:rPr>
        <w:lastRenderedPageBreak/>
        <w:t>Załącznik nr 2</w:t>
      </w:r>
    </w:p>
    <w:p w:rsidR="0089522C" w:rsidRPr="0089522C" w:rsidRDefault="0089522C" w:rsidP="0089522C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89522C">
        <w:rPr>
          <w:rFonts w:ascii="Times New Roman" w:eastAsiaTheme="minorEastAsia" w:hAnsi="Times New Roman" w:cs="Times New Roman"/>
          <w:sz w:val="24"/>
          <w:szCs w:val="24"/>
        </w:rPr>
        <w:t>„Z</w:t>
      </w:r>
      <w:r w:rsidR="007C704E">
        <w:rPr>
          <w:rFonts w:ascii="Times New Roman" w:eastAsiaTheme="minorEastAsia" w:hAnsi="Times New Roman" w:cs="Times New Roman"/>
          <w:sz w:val="24"/>
          <w:szCs w:val="24"/>
        </w:rPr>
        <w:t xml:space="preserve">ałącznik nr </w:t>
      </w:r>
      <w:r w:rsidRPr="0089522C">
        <w:rPr>
          <w:rFonts w:ascii="Times New Roman" w:eastAsiaTheme="minorEastAsia" w:hAnsi="Times New Roman" w:cs="Times New Roman"/>
          <w:sz w:val="24"/>
          <w:szCs w:val="24"/>
        </w:rPr>
        <w:t>3</w:t>
      </w:r>
    </w:p>
    <w:p w:rsidR="0089522C" w:rsidRPr="0089522C" w:rsidRDefault="0089522C" w:rsidP="0089522C">
      <w:pPr>
        <w:spacing w:after="0" w:line="360" w:lineRule="auto"/>
        <w:ind w:left="284"/>
        <w:jc w:val="both"/>
        <w:rPr>
          <w:rFonts w:ascii="Times New Roman" w:eastAsiaTheme="minorEastAsia" w:hAnsi="Times New Roman" w:cs="Times New Roman"/>
          <w:bCs/>
          <w:sz w:val="24"/>
          <w:szCs w:val="24"/>
          <w:vertAlign w:val="superscript"/>
          <w:lang w:eastAsia="pl-PL"/>
        </w:rPr>
      </w:pPr>
      <w:r w:rsidRPr="0089522C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Część A. Tymczasowe szacowane emisje surowców dla biokomponentów i biopłynów, wynikające z pośredniej zmiany użytkowania gruntów (gCO</w:t>
      </w:r>
      <w:r w:rsidR="007C704E">
        <w:rPr>
          <w:vertAlign w:val="subscript"/>
        </w:rPr>
        <w:t>2eq</w:t>
      </w:r>
      <w:r w:rsidRPr="0089522C">
        <w:rPr>
          <w:rFonts w:ascii="Times New Roman" w:eastAsiaTheme="minorEastAsia" w:hAnsi="Times New Roman" w:cs="Times New Roman"/>
          <w:bCs/>
          <w:sz w:val="24"/>
          <w:szCs w:val="24"/>
          <w:lang w:eastAsia="pl-PL"/>
        </w:rPr>
        <w:t>/MJ)</w:t>
      </w:r>
      <w:r w:rsidRPr="0089522C">
        <w:rPr>
          <w:rFonts w:ascii="Times New Roman" w:eastAsiaTheme="minorEastAsia" w:hAnsi="Times New Roman" w:cs="Times New Roman"/>
          <w:bCs/>
          <w:sz w:val="24"/>
          <w:szCs w:val="24"/>
          <w:vertAlign w:val="superscript"/>
          <w:lang w:eastAsia="pl-PL"/>
        </w:rPr>
        <w:footnoteReference w:id="1"/>
      </w:r>
      <w:r w:rsidRPr="0089522C">
        <w:rPr>
          <w:rFonts w:ascii="Times New Roman" w:eastAsiaTheme="minorEastAsia" w:hAnsi="Times New Roman" w:cs="Times New Roman"/>
          <w:bCs/>
          <w:sz w:val="24"/>
          <w:szCs w:val="24"/>
          <w:vertAlign w:val="superscript"/>
          <w:lang w:eastAsia="pl-PL"/>
        </w:rPr>
        <w:t>)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77"/>
        <w:gridCol w:w="2338"/>
        <w:gridCol w:w="2181"/>
      </w:tblGrid>
      <w:tr w:rsidR="0089522C" w:rsidRPr="0089522C" w:rsidTr="00756211">
        <w:trPr>
          <w:jc w:val="center"/>
        </w:trPr>
        <w:tc>
          <w:tcPr>
            <w:tcW w:w="42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9522C" w:rsidRPr="0089522C" w:rsidRDefault="0089522C" w:rsidP="0089522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pl-PL"/>
              </w:rPr>
            </w:pPr>
            <w:r w:rsidRPr="0089522C">
              <w:rPr>
                <w:rFonts w:ascii="Times New Roman" w:eastAsiaTheme="minorEastAsia" w:hAnsi="Times New Roman" w:cs="Times New Roman"/>
                <w:sz w:val="24"/>
                <w:szCs w:val="20"/>
                <w:lang w:eastAsia="pl-PL"/>
              </w:rPr>
              <w:t>Grupa surowców</w:t>
            </w:r>
          </w:p>
          <w:p w:rsidR="0089522C" w:rsidRPr="0089522C" w:rsidRDefault="0089522C" w:rsidP="0089522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pl-PL"/>
              </w:rPr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522C" w:rsidRPr="0089522C" w:rsidRDefault="0089522C" w:rsidP="0089522C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vertAlign w:val="superscript"/>
                <w:lang w:eastAsia="pl-PL"/>
              </w:rPr>
            </w:pPr>
            <w:r w:rsidRPr="0089522C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  <w:t xml:space="preserve">Średnia </w:t>
            </w:r>
            <w:r w:rsidRPr="0089522C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vertAlign w:val="superscript"/>
                <w:lang w:eastAsia="pl-PL"/>
              </w:rPr>
              <w:t>(*)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9522C" w:rsidRPr="0089522C" w:rsidRDefault="0089522C" w:rsidP="0089522C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</w:pPr>
            <w:r w:rsidRPr="0089522C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  <w:t xml:space="preserve">Zakres między percentylami uzyskany z analizy wrażliwości </w:t>
            </w:r>
            <w:r w:rsidRPr="0089522C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vertAlign w:val="superscript"/>
                <w:lang w:eastAsia="pl-PL"/>
              </w:rPr>
              <w:t xml:space="preserve">(**) </w:t>
            </w:r>
          </w:p>
        </w:tc>
      </w:tr>
      <w:tr w:rsidR="0089522C" w:rsidRPr="0089522C" w:rsidTr="00756211">
        <w:trPr>
          <w:jc w:val="center"/>
        </w:trPr>
        <w:tc>
          <w:tcPr>
            <w:tcW w:w="427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89522C" w:rsidRPr="0089522C" w:rsidRDefault="0089522C" w:rsidP="0089522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pl-PL"/>
              </w:rPr>
            </w:pPr>
            <w:r w:rsidRPr="0089522C">
              <w:rPr>
                <w:rFonts w:ascii="Times New Roman" w:eastAsiaTheme="minorEastAsia" w:hAnsi="Times New Roman" w:cs="Times New Roman"/>
                <w:sz w:val="24"/>
                <w:szCs w:val="20"/>
                <w:lang w:eastAsia="pl-PL"/>
              </w:rPr>
              <w:t>Rośliny wysokoskrobiowe</w:t>
            </w: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9522C" w:rsidRPr="0089522C" w:rsidRDefault="0089522C" w:rsidP="0089522C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</w:pPr>
            <w:r w:rsidRPr="0089522C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  <w:t>12</w:t>
            </w:r>
          </w:p>
        </w:tc>
        <w:tc>
          <w:tcPr>
            <w:tcW w:w="218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89522C" w:rsidRPr="0089522C" w:rsidRDefault="00CF16A6" w:rsidP="0089522C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  <w:t>8–</w:t>
            </w:r>
            <w:r w:rsidR="0089522C" w:rsidRPr="0089522C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  <w:t>16</w:t>
            </w:r>
          </w:p>
        </w:tc>
      </w:tr>
      <w:tr w:rsidR="0089522C" w:rsidRPr="0089522C" w:rsidTr="00756211">
        <w:trPr>
          <w:jc w:val="center"/>
        </w:trPr>
        <w:tc>
          <w:tcPr>
            <w:tcW w:w="427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9522C" w:rsidRPr="0089522C" w:rsidRDefault="0089522C" w:rsidP="0089522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pl-PL"/>
              </w:rPr>
            </w:pPr>
            <w:r w:rsidRPr="0089522C">
              <w:rPr>
                <w:rFonts w:ascii="Times New Roman" w:eastAsiaTheme="minorEastAsia" w:hAnsi="Times New Roman" w:cs="Times New Roman"/>
                <w:sz w:val="24"/>
                <w:szCs w:val="20"/>
                <w:lang w:eastAsia="pl-PL"/>
              </w:rPr>
              <w:t>Rośliny cukrowe</w:t>
            </w:r>
          </w:p>
        </w:tc>
        <w:tc>
          <w:tcPr>
            <w:tcW w:w="23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9522C" w:rsidRPr="0089522C" w:rsidRDefault="0089522C" w:rsidP="0089522C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</w:pPr>
            <w:r w:rsidRPr="0089522C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  <w:t>13</w:t>
            </w:r>
          </w:p>
        </w:tc>
        <w:tc>
          <w:tcPr>
            <w:tcW w:w="218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9522C" w:rsidRPr="0089522C" w:rsidRDefault="00CF16A6" w:rsidP="0089522C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  <w:t>4–</w:t>
            </w:r>
            <w:r w:rsidR="0089522C" w:rsidRPr="0089522C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  <w:t>17</w:t>
            </w:r>
          </w:p>
        </w:tc>
      </w:tr>
      <w:tr w:rsidR="0089522C" w:rsidRPr="0089522C" w:rsidTr="00756211">
        <w:trPr>
          <w:jc w:val="center"/>
        </w:trPr>
        <w:tc>
          <w:tcPr>
            <w:tcW w:w="4277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89522C" w:rsidRPr="0089522C" w:rsidRDefault="0089522C" w:rsidP="0089522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Theme="minorEastAsia" w:hAnsi="Times New Roman" w:cs="Times New Roman"/>
                <w:sz w:val="24"/>
                <w:szCs w:val="20"/>
                <w:lang w:eastAsia="pl-PL"/>
              </w:rPr>
            </w:pPr>
            <w:r w:rsidRPr="0089522C">
              <w:rPr>
                <w:rFonts w:ascii="Times New Roman" w:eastAsiaTheme="minorEastAsia" w:hAnsi="Times New Roman" w:cs="Times New Roman"/>
                <w:sz w:val="24"/>
                <w:szCs w:val="20"/>
                <w:lang w:eastAsia="pl-PL"/>
              </w:rPr>
              <w:t>Rośliny oleiste</w:t>
            </w:r>
          </w:p>
        </w:tc>
        <w:tc>
          <w:tcPr>
            <w:tcW w:w="23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9522C" w:rsidRPr="0089522C" w:rsidRDefault="0089522C" w:rsidP="0089522C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</w:pPr>
            <w:r w:rsidRPr="0089522C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  <w:t>55</w:t>
            </w:r>
          </w:p>
        </w:tc>
        <w:tc>
          <w:tcPr>
            <w:tcW w:w="2181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89522C" w:rsidRPr="0089522C" w:rsidRDefault="00CF16A6" w:rsidP="0089522C">
            <w:pPr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</w:pPr>
            <w:r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  <w:t>33–</w:t>
            </w:r>
            <w:r w:rsidR="0089522C" w:rsidRPr="0089522C">
              <w:rPr>
                <w:rFonts w:ascii="Times New Roman" w:eastAsiaTheme="minorEastAsia" w:hAnsi="Times New Roman" w:cs="Times New Roman"/>
                <w:bCs/>
                <w:kern w:val="24"/>
                <w:sz w:val="24"/>
                <w:szCs w:val="20"/>
                <w:lang w:eastAsia="pl-PL"/>
              </w:rPr>
              <w:t>66</w:t>
            </w:r>
          </w:p>
        </w:tc>
      </w:tr>
      <w:tr w:rsidR="0089522C" w:rsidRPr="0089522C" w:rsidTr="00756211">
        <w:trPr>
          <w:jc w:val="center"/>
        </w:trPr>
        <w:tc>
          <w:tcPr>
            <w:tcW w:w="879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9522C" w:rsidRPr="0089522C" w:rsidRDefault="0089522C" w:rsidP="0089522C">
            <w:pPr>
              <w:spacing w:after="0" w:line="240" w:lineRule="auto"/>
              <w:ind w:left="284" w:hanging="284"/>
              <w:jc w:val="both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89522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vertAlign w:val="superscript"/>
                <w:lang w:eastAsia="pl-PL"/>
              </w:rPr>
              <w:t>(*)</w:t>
            </w:r>
            <w:r w:rsidRPr="0089522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pl-PL"/>
              </w:rPr>
              <w:t xml:space="preserve"> Przedstawione tu średnie wartości stanowią średnią ważoną indywidualnie modelowanych wartości dotyczących surowców.</w:t>
            </w:r>
          </w:p>
          <w:p w:rsidR="0089522C" w:rsidRPr="0089522C" w:rsidRDefault="0089522C" w:rsidP="007C704E">
            <w:pPr>
              <w:spacing w:after="0" w:line="240" w:lineRule="auto"/>
              <w:ind w:left="284" w:hanging="284"/>
              <w:jc w:val="both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89522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vertAlign w:val="superscript"/>
                <w:lang w:eastAsia="pl-PL"/>
              </w:rPr>
              <w:t xml:space="preserve">(**) </w:t>
            </w:r>
            <w:r w:rsidRPr="0089522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pl-PL"/>
              </w:rPr>
              <w:t>Przedstawiony tu zakres oddaje 90% wyników przy użyciu wartości 5. i 95. percentyla wynikających z</w:t>
            </w:r>
            <w:r w:rsidR="00756211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  <w:r w:rsidRPr="0089522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pl-PL"/>
              </w:rPr>
              <w:t>analizy. Percentyl 5. oznacza wartoś</w:t>
            </w:r>
            <w:r w:rsidR="00756211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pl-PL"/>
              </w:rPr>
              <w:t>ć, poniżej której stwierdzono 5% obserwacji (tj. 5</w:t>
            </w:r>
            <w:r w:rsidRPr="0089522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pl-PL"/>
              </w:rPr>
              <w:t>% łącznych danych wykazało wyniki poniżej 8, 4 i 33 gCO</w:t>
            </w:r>
            <w:r w:rsidR="007C704E">
              <w:rPr>
                <w:vertAlign w:val="subscript"/>
              </w:rPr>
              <w:t>2eq</w:t>
            </w:r>
            <w:r w:rsidRPr="0089522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pl-PL"/>
              </w:rPr>
              <w:t>/MJ). Percentyl 95. oznacza wartość</w:t>
            </w:r>
            <w:r w:rsidR="00756211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pl-PL"/>
              </w:rPr>
              <w:t>, poniżej której stwierdzono 95% obserwacji (tj. 5</w:t>
            </w:r>
            <w:r w:rsidRPr="0089522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pl-PL"/>
              </w:rPr>
              <w:t>% łącznych danych wykazało wyniki powyżej 16, 17 i 66 gCO</w:t>
            </w:r>
            <w:r w:rsidR="007C704E">
              <w:rPr>
                <w:vertAlign w:val="subscript"/>
              </w:rPr>
              <w:t>2eq</w:t>
            </w:r>
            <w:r w:rsidRPr="0089522C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lang w:eastAsia="pl-PL"/>
              </w:rPr>
              <w:t>/MJ).</w:t>
            </w:r>
          </w:p>
        </w:tc>
      </w:tr>
    </w:tbl>
    <w:p w:rsidR="0089522C" w:rsidRPr="0089522C" w:rsidRDefault="0089522C" w:rsidP="00756211">
      <w:pPr>
        <w:tabs>
          <w:tab w:val="left" w:pos="7020"/>
        </w:tabs>
        <w:spacing w:before="120"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89522C">
        <w:rPr>
          <w:rFonts w:ascii="Times New Roman" w:eastAsiaTheme="minorEastAsia" w:hAnsi="Times New Roman" w:cs="Times New Roman"/>
          <w:sz w:val="24"/>
          <w:szCs w:val="24"/>
          <w:lang w:eastAsia="pl-PL"/>
        </w:rPr>
        <w:t>Część B. Biokomponenty i biopłyny, w przypadku których szacowane emisje wynikające z</w:t>
      </w:r>
      <w:r w:rsidR="00756211"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Pr="0089522C">
        <w:rPr>
          <w:rFonts w:ascii="Times New Roman" w:eastAsiaTheme="minorEastAsia" w:hAnsi="Times New Roman" w:cs="Times New Roman"/>
          <w:sz w:val="24"/>
          <w:szCs w:val="24"/>
          <w:lang w:eastAsia="pl-PL"/>
        </w:rPr>
        <w:t>pośredniej zmiany sposobu użytkowania gruntów są uznawane za zerowe.</w:t>
      </w:r>
    </w:p>
    <w:p w:rsidR="0089522C" w:rsidRPr="0089522C" w:rsidRDefault="0089522C" w:rsidP="00756211">
      <w:pPr>
        <w:tabs>
          <w:tab w:val="left" w:pos="426"/>
        </w:tabs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89522C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W przypadku biokomponentów i biopłynów produkowanych z następujących kategorii surowców uznaje się, że ich szacowane emisje wynikające z pośredniej zmiany użytkowania gruntów wynoszą zero: </w:t>
      </w:r>
    </w:p>
    <w:p w:rsidR="0089522C" w:rsidRPr="0089522C" w:rsidRDefault="0089522C" w:rsidP="0089522C">
      <w:p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89522C">
        <w:rPr>
          <w:rFonts w:ascii="Times New Roman" w:eastAsiaTheme="minorEastAsia" w:hAnsi="Times New Roman" w:cs="Times New Roman"/>
          <w:sz w:val="24"/>
          <w:szCs w:val="24"/>
          <w:lang w:eastAsia="pl-PL"/>
        </w:rPr>
        <w:t>1)</w:t>
      </w:r>
      <w:r w:rsidRPr="0089522C">
        <w:rPr>
          <w:rFonts w:ascii="Times New Roman" w:eastAsiaTheme="minorEastAsia" w:hAnsi="Times New Roman" w:cs="Times New Roman"/>
          <w:sz w:val="24"/>
          <w:szCs w:val="24"/>
          <w:lang w:eastAsia="pl-PL"/>
        </w:rPr>
        <w:tab/>
        <w:t xml:space="preserve">surowce niewymienione w części A niniejszego załącznika; </w:t>
      </w:r>
    </w:p>
    <w:p w:rsidR="0089522C" w:rsidRPr="0089522C" w:rsidRDefault="00756211" w:rsidP="0089522C">
      <w:pPr>
        <w:spacing w:after="0" w:line="360" w:lineRule="auto"/>
        <w:ind w:left="705" w:hanging="705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2)</w:t>
      </w:r>
      <w:r w:rsidR="0089522C" w:rsidRPr="0089522C">
        <w:rPr>
          <w:rFonts w:ascii="Times New Roman" w:eastAsiaTheme="minorEastAsia" w:hAnsi="Times New Roman" w:cs="Times New Roman"/>
          <w:sz w:val="24"/>
          <w:szCs w:val="24"/>
          <w:lang w:eastAsia="pl-PL"/>
        </w:rPr>
        <w:tab/>
        <w:t>surowce, których produkcja prowadzi do bezpośredniej zmiany użytkowania gruntów, np. zmiany jednej z następujących klas pokrycia terenu stosowanych przez Międzyrządowy Zespół d</w:t>
      </w:r>
      <w:r w:rsidR="007C704E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 </w:t>
      </w:r>
      <w:r w:rsidR="0089522C" w:rsidRPr="0089522C">
        <w:rPr>
          <w:rFonts w:ascii="Times New Roman" w:eastAsiaTheme="minorEastAsia" w:hAnsi="Times New Roman" w:cs="Times New Roman"/>
          <w:sz w:val="24"/>
          <w:szCs w:val="24"/>
          <w:lang w:eastAsia="pl-PL"/>
        </w:rPr>
        <w:t>s</w:t>
      </w:r>
      <w:r w:rsidR="007C704E">
        <w:rPr>
          <w:rFonts w:ascii="Times New Roman" w:eastAsiaTheme="minorEastAsia" w:hAnsi="Times New Roman" w:cs="Times New Roman"/>
          <w:sz w:val="24"/>
          <w:szCs w:val="24"/>
          <w:lang w:eastAsia="pl-PL"/>
        </w:rPr>
        <w:t>praw</w:t>
      </w:r>
      <w:r w:rsidR="0089522C" w:rsidRPr="0089522C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Zmian Klimatu (IPCC); grunty leśne, użytki zielone, tereny podmokłe, grunty zabudowane lub inne grunty, na klasę gruntów uprawnych lub upraw wieloletnich</w:t>
      </w:r>
      <w:r w:rsidR="0089522C" w:rsidRPr="0089522C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pl-PL"/>
        </w:rPr>
        <w:footnoteReference w:id="2"/>
      </w:r>
      <w:r w:rsidR="0089522C" w:rsidRPr="0089522C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pl-PL"/>
        </w:rPr>
        <w:t>)</w:t>
      </w:r>
      <w:r w:rsidR="0089522C" w:rsidRPr="0089522C">
        <w:rPr>
          <w:rFonts w:ascii="Times New Roman" w:eastAsiaTheme="minorEastAsia" w:hAnsi="Times New Roman" w:cs="Times New Roman"/>
          <w:sz w:val="24"/>
          <w:szCs w:val="24"/>
          <w:lang w:eastAsia="pl-PL"/>
        </w:rPr>
        <w:t>. W takim przypadku wartość emisji wynikającej z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="0089522C" w:rsidRPr="0089522C">
        <w:rPr>
          <w:rFonts w:ascii="Times New Roman" w:eastAsiaTheme="minorEastAsia" w:hAnsi="Times New Roman" w:cs="Times New Roman"/>
          <w:sz w:val="24"/>
          <w:szCs w:val="24"/>
          <w:lang w:eastAsia="pl-PL"/>
        </w:rPr>
        <w:t>bezpośredniej zmiany użytkowania gruntów (e</w:t>
      </w:r>
      <w:r w:rsidR="0089522C" w:rsidRPr="0089522C">
        <w:rPr>
          <w:rFonts w:ascii="Times New Roman" w:eastAsiaTheme="minorEastAsia" w:hAnsi="Times New Roman" w:cs="Times New Roman"/>
          <w:sz w:val="24"/>
          <w:szCs w:val="24"/>
          <w:vertAlign w:val="subscript"/>
          <w:lang w:eastAsia="pl-PL"/>
        </w:rPr>
        <w:t>l</w:t>
      </w:r>
      <w:r w:rsidR="0089522C" w:rsidRPr="0089522C">
        <w:rPr>
          <w:rFonts w:ascii="Times New Roman" w:eastAsiaTheme="minorEastAsia" w:hAnsi="Times New Roman" w:cs="Times New Roman"/>
          <w:sz w:val="24"/>
          <w:szCs w:val="24"/>
          <w:lang w:eastAsia="pl-PL"/>
        </w:rPr>
        <w:t>) należy obliczać zgodnie z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 </w:t>
      </w:r>
      <w:r w:rsidR="0089522C" w:rsidRPr="0089522C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załącznikiem nr 1 pkt </w:t>
      </w:r>
      <w:r w:rsidR="0089522C" w:rsidRPr="0089522C">
        <w:rPr>
          <w:rFonts w:ascii="Times New Roman" w:eastAsiaTheme="minorEastAsia" w:hAnsi="Times New Roman" w:cs="Times New Roman"/>
          <w:sz w:val="24"/>
          <w:szCs w:val="20"/>
          <w:lang w:eastAsia="pl-PL"/>
        </w:rPr>
        <w:t>II.3. pkt 7.”.</w:t>
      </w:r>
    </w:p>
    <w:sectPr w:rsidR="0089522C" w:rsidRPr="0089522C" w:rsidSect="00756211">
      <w:footnotePr>
        <w:numRestart w:val="eachSect"/>
      </w:footnotePr>
      <w:pgSz w:w="11906" w:h="16838"/>
      <w:pgMar w:top="1418" w:right="1435" w:bottom="136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4CE" w:rsidRDefault="004D34CE" w:rsidP="0089522C">
      <w:pPr>
        <w:spacing w:after="0" w:line="240" w:lineRule="auto"/>
      </w:pPr>
      <w:r>
        <w:separator/>
      </w:r>
    </w:p>
  </w:endnote>
  <w:endnote w:type="continuationSeparator" w:id="0">
    <w:p w:rsidR="004D34CE" w:rsidRDefault="004D34CE" w:rsidP="0089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4CE" w:rsidRDefault="004D34CE" w:rsidP="0089522C">
      <w:pPr>
        <w:spacing w:after="0" w:line="240" w:lineRule="auto"/>
      </w:pPr>
      <w:r>
        <w:separator/>
      </w:r>
    </w:p>
  </w:footnote>
  <w:footnote w:type="continuationSeparator" w:id="0">
    <w:p w:rsidR="004D34CE" w:rsidRDefault="004D34CE" w:rsidP="0089522C">
      <w:pPr>
        <w:spacing w:after="0" w:line="240" w:lineRule="auto"/>
      </w:pPr>
      <w:r>
        <w:continuationSeparator/>
      </w:r>
    </w:p>
  </w:footnote>
  <w:footnote w:id="1">
    <w:p w:rsidR="0089522C" w:rsidRDefault="0089522C" w:rsidP="00756211">
      <w:pPr>
        <w:pStyle w:val="Tekstprzypisukocowego"/>
        <w:tabs>
          <w:tab w:val="left" w:pos="284"/>
        </w:tabs>
        <w:ind w:left="284" w:hanging="284"/>
        <w:jc w:val="both"/>
      </w:pPr>
      <w:r>
        <w:rPr>
          <w:rStyle w:val="Odwoanieprzypisudolnego"/>
        </w:rPr>
        <w:footnoteRef/>
      </w:r>
      <w:r w:rsidRPr="008A6AAC">
        <w:rPr>
          <w:vertAlign w:val="superscript"/>
        </w:rPr>
        <w:t>)</w:t>
      </w:r>
      <w:r>
        <w:t xml:space="preserve"> </w:t>
      </w:r>
      <w:r>
        <w:tab/>
      </w:r>
      <w:r w:rsidRPr="000D17AC">
        <w:t>Przedstawione tu średnie wartości stanowią średnią ważoną indywidualnie modelowanych wartości dotyczących surowców. Wielkość wartości w załączniku podlega szeregowi założeń (odnoszących się np. do postępowania z p</w:t>
      </w:r>
      <w:r>
        <w:t>ozostałościami</w:t>
      </w:r>
      <w:r w:rsidRPr="000D17AC">
        <w:t>, kształtowania się plonów, zasobów węgla i przemieszczania produkcji innych towarów) stosowanych w modelach ekonomicznych opracowanych w celu oszacowania tych emisji. Mimo że, w związku z powyższym, dokładne scharakteryzowanie zakresu niepewności wiążącego się z</w:t>
      </w:r>
      <w:r w:rsidR="00756211">
        <w:t> </w:t>
      </w:r>
      <w:r w:rsidRPr="000D17AC">
        <w:t>takimi szacowanymi wielkościami nie jest możliwe, przeprowadzono analizę metodą Monte Carlo, czyli analizę wrażliwości tych rezultatów w oparciu o przypadkową zmienność głównych parametrów.</w:t>
      </w:r>
    </w:p>
  </w:footnote>
  <w:footnote w:id="2">
    <w:p w:rsidR="0089522C" w:rsidRPr="00756211" w:rsidRDefault="0089522C" w:rsidP="00756211">
      <w:pPr>
        <w:pStyle w:val="Tekstprzypisukocowego"/>
        <w:tabs>
          <w:tab w:val="left" w:pos="284"/>
        </w:tabs>
        <w:ind w:left="284" w:hanging="284"/>
        <w:jc w:val="both"/>
      </w:pPr>
      <w:r w:rsidRPr="00756211">
        <w:rPr>
          <w:rStyle w:val="Odwoanieprzypisudolnego"/>
        </w:rPr>
        <w:footnoteRef/>
      </w:r>
      <w:r w:rsidRPr="00756211">
        <w:rPr>
          <w:vertAlign w:val="superscript"/>
        </w:rPr>
        <w:t>)</w:t>
      </w:r>
      <w:r w:rsidRPr="00756211">
        <w:rPr>
          <w:vertAlign w:val="superscript"/>
        </w:rPr>
        <w:tab/>
      </w:r>
      <w:r w:rsidRPr="00756211">
        <w:t>Uprawy wieloletnie definiuje się jako uprawy wieloletnie z łodygami zwykle niepodlegającymi corocznym zbiorom, takie jak zagajnik o krótkiej rotacji i uprawy palmy olejowej.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22C" w:rsidRPr="000C00BF" w:rsidRDefault="0089522C" w:rsidP="00B371CC">
    <w:pPr>
      <w:pStyle w:val="Nagwek"/>
      <w:jc w:val="center"/>
      <w:rPr>
        <w:rFonts w:ascii="Times New Roman" w:hAnsi="Times New Roman" w:cs="Times New Roman"/>
      </w:rPr>
    </w:pPr>
    <w:r w:rsidRPr="000C00BF">
      <w:rPr>
        <w:rFonts w:ascii="Times New Roman" w:hAnsi="Times New Roman" w:cs="Times New Roman"/>
      </w:rPr>
      <w:t xml:space="preserve">– </w:t>
    </w:r>
    <w:r w:rsidRPr="000C00BF">
      <w:rPr>
        <w:rFonts w:ascii="Times New Roman" w:hAnsi="Times New Roman" w:cs="Times New Roman"/>
      </w:rPr>
      <w:fldChar w:fldCharType="begin"/>
    </w:r>
    <w:r w:rsidRPr="000C00BF">
      <w:rPr>
        <w:rFonts w:ascii="Times New Roman" w:hAnsi="Times New Roman" w:cs="Times New Roman"/>
      </w:rPr>
      <w:instrText xml:space="preserve"> PAGE  \* MERGEFORMAT </w:instrText>
    </w:r>
    <w:r w:rsidRPr="000C00BF">
      <w:rPr>
        <w:rFonts w:ascii="Times New Roman" w:hAnsi="Times New Roman" w:cs="Times New Roman"/>
      </w:rPr>
      <w:fldChar w:fldCharType="separate"/>
    </w:r>
    <w:r w:rsidR="008C5134">
      <w:rPr>
        <w:rFonts w:ascii="Times New Roman" w:hAnsi="Times New Roman" w:cs="Times New Roman"/>
        <w:noProof/>
      </w:rPr>
      <w:t>2</w:t>
    </w:r>
    <w:r w:rsidRPr="000C00BF">
      <w:rPr>
        <w:rFonts w:ascii="Times New Roman" w:hAnsi="Times New Roman" w:cs="Times New Roman"/>
        <w:noProof/>
      </w:rPr>
      <w:fldChar w:fldCharType="end"/>
    </w:r>
    <w:r w:rsidRPr="000C00BF">
      <w:rPr>
        <w:rFonts w:ascii="Times New Roman" w:hAnsi="Times New Roman" w:cs="Times New Roman"/>
      </w:rP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22C"/>
    <w:rsid w:val="000C00BF"/>
    <w:rsid w:val="00104180"/>
    <w:rsid w:val="00175A27"/>
    <w:rsid w:val="00250305"/>
    <w:rsid w:val="00282157"/>
    <w:rsid w:val="004D34CE"/>
    <w:rsid w:val="0069354A"/>
    <w:rsid w:val="006C755C"/>
    <w:rsid w:val="00756211"/>
    <w:rsid w:val="00777034"/>
    <w:rsid w:val="007C704E"/>
    <w:rsid w:val="008768FE"/>
    <w:rsid w:val="0089522C"/>
    <w:rsid w:val="008C5134"/>
    <w:rsid w:val="009A480B"/>
    <w:rsid w:val="00A61B74"/>
    <w:rsid w:val="00AA4052"/>
    <w:rsid w:val="00AD6A67"/>
    <w:rsid w:val="00B92A4D"/>
    <w:rsid w:val="00BE4B65"/>
    <w:rsid w:val="00BE6A36"/>
    <w:rsid w:val="00C64C3C"/>
    <w:rsid w:val="00C70323"/>
    <w:rsid w:val="00CC5016"/>
    <w:rsid w:val="00CF16A6"/>
    <w:rsid w:val="00FC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43C8D-794C-431F-8B41-CE4B4E63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52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522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522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522C"/>
    <w:rPr>
      <w:sz w:val="20"/>
      <w:szCs w:val="20"/>
    </w:rPr>
  </w:style>
  <w:style w:type="character" w:styleId="Odwoanieprzypisudolnego">
    <w:name w:val="footnote reference"/>
    <w:uiPriority w:val="99"/>
    <w:semiHidden/>
    <w:rsid w:val="0089522C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8952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89522C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C00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0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 Chmielewska</dc:creator>
  <cp:lastModifiedBy>Grażyna D. Grabowska</cp:lastModifiedBy>
  <cp:revision>2</cp:revision>
  <dcterms:created xsi:type="dcterms:W3CDTF">2017-11-03T14:02:00Z</dcterms:created>
  <dcterms:modified xsi:type="dcterms:W3CDTF">2017-11-03T14:02:00Z</dcterms:modified>
</cp:coreProperties>
</file>